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A6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B5F6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00000" w:rsidRDefault="007B5F6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000000" w:rsidRDefault="007B5F6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000000" w:rsidRDefault="007B5F6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:rsidR="00000000" w:rsidRDefault="007B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7B5F6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:rsidR="00000000" w:rsidRDefault="007B5F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7B5F6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березня  2020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м. Ніжин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55</w:t>
      </w:r>
    </w:p>
    <w:p w:rsidR="00000000" w:rsidRDefault="007B5F68">
      <w:pPr>
        <w:spacing w:after="0" w:line="240" w:lineRule="auto"/>
        <w:jc w:val="both"/>
        <w:rPr>
          <w:lang w:val="uk-UA"/>
        </w:rPr>
      </w:pPr>
    </w:p>
    <w:p w:rsidR="00000000" w:rsidRDefault="007B5F68">
      <w:pPr>
        <w:spacing w:after="0" w:line="240" w:lineRule="auto"/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Про внесення змін до розпорядження </w:t>
      </w:r>
    </w:p>
    <w:p w:rsidR="00000000" w:rsidRDefault="007B5F68">
      <w:pPr>
        <w:spacing w:after="0" w:line="240" w:lineRule="auto"/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міського голови від  1 червня 2018 року</w:t>
      </w:r>
    </w:p>
    <w:p w:rsidR="00000000" w:rsidRDefault="007B5F68">
      <w:pPr>
        <w:spacing w:after="0" w:line="240" w:lineRule="auto"/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43 «Про затвердження штатного </w:t>
      </w:r>
    </w:p>
    <w:p w:rsidR="00000000" w:rsidRDefault="007B5F68">
      <w:pPr>
        <w:spacing w:after="0" w:line="240" w:lineRule="auto"/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розпису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апарату виконавчого комітету, </w:t>
      </w:r>
    </w:p>
    <w:p w:rsidR="00000000" w:rsidRDefault="007B5F68">
      <w:pPr>
        <w:spacing w:after="0" w:line="240" w:lineRule="auto"/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виконавчих органів виконавчого</w:t>
      </w:r>
    </w:p>
    <w:p w:rsidR="00000000" w:rsidRDefault="007B5F68">
      <w:pPr>
        <w:spacing w:after="0" w:line="240" w:lineRule="auto"/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комітету Ніжинської міської ради </w:t>
      </w:r>
    </w:p>
    <w:p w:rsidR="00000000" w:rsidRDefault="007B5F68">
      <w:pPr>
        <w:spacing w:after="0" w:line="240" w:lineRule="auto"/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Чернігівської області»</w:t>
      </w:r>
    </w:p>
    <w:p w:rsidR="00000000" w:rsidRDefault="007B5F68"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:rsidR="00000000" w:rsidRDefault="007B5F6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постанов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Кабінету Міністрів України від  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 із змінами), Регламенту виконавчого комітету Ніжинської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Чернігівської області </w:t>
      </w:r>
      <w:r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скликання», затвердженого рішенням виконавчого комітету Ніжинської міської ради Чернігівської області від 11.08.2016р. №220 (із змінами)  рішення Ніжинської міської ради Чернігівської області VII скликання від 26 люто</w:t>
      </w:r>
      <w:r>
        <w:rPr>
          <w:rFonts w:ascii="Times New Roman" w:hAnsi="Times New Roman" w:cs="Times New Roman"/>
          <w:sz w:val="28"/>
          <w:szCs w:val="28"/>
          <w:lang w:val="uk-UA"/>
        </w:rPr>
        <w:t>го 2020 року № 60-68/2020 «Про внесення змін до рішення Ніжинської міської ради Чернігівської області VII скликання від 24 листопада 2015 року №6-2/2015,  «Про затвердження структури апарату виконавчого комітету, виконавчих органів виконавчого комітету Ніж</w:t>
      </w:r>
      <w:r>
        <w:rPr>
          <w:rFonts w:ascii="Times New Roman" w:hAnsi="Times New Roman" w:cs="Times New Roman"/>
          <w:sz w:val="28"/>
          <w:szCs w:val="28"/>
          <w:lang w:val="uk-UA"/>
        </w:rPr>
        <w:t>инської міської ради Чернігівської області та їх чисельності»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</w:p>
    <w:p w:rsidR="00000000" w:rsidRDefault="007B5F68">
      <w:pPr>
        <w:spacing w:after="0" w:line="240" w:lineRule="auto"/>
        <w:ind w:firstLine="708"/>
        <w:jc w:val="both"/>
      </w:pPr>
    </w:p>
    <w:p w:rsidR="00000000" w:rsidRDefault="007B5F6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Внести зміни 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до розпорядження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міського голови від 1 червня 2018 року  № 143 «Про затвердження штатного розпису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апарату виконавчого комітету, виконавчих органів виконавчого комітету Ніжинс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ької міської ради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Чернігівської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 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викласти його у наступній редакції (додається).</w:t>
      </w:r>
    </w:p>
    <w:p w:rsidR="00000000" w:rsidRDefault="007B5F6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2.Штатний розпис апарату виконавчого комітету, виконавчих органів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набирає чинності з 04 травня 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 року .</w:t>
      </w:r>
    </w:p>
    <w:p w:rsidR="00000000" w:rsidRDefault="007B5F68">
      <w:pPr>
        <w:spacing w:after="0" w:line="240" w:lineRule="auto"/>
        <w:ind w:firstLine="708"/>
        <w:jc w:val="both"/>
      </w:pPr>
    </w:p>
    <w:p w:rsidR="00000000" w:rsidRDefault="007B5F68">
      <w:pPr>
        <w:spacing w:after="0" w:line="240" w:lineRule="auto"/>
        <w:ind w:firstLine="708"/>
        <w:jc w:val="both"/>
      </w:pPr>
    </w:p>
    <w:p w:rsidR="00000000" w:rsidRDefault="007B5F68">
      <w:pPr>
        <w:spacing w:after="0" w:line="240" w:lineRule="auto"/>
        <w:ind w:firstLine="708"/>
        <w:jc w:val="both"/>
      </w:pPr>
    </w:p>
    <w:p w:rsidR="00000000" w:rsidRDefault="007B5F68">
      <w:pPr>
        <w:spacing w:after="0" w:line="240" w:lineRule="auto"/>
        <w:ind w:firstLine="708"/>
        <w:jc w:val="both"/>
      </w:pPr>
    </w:p>
    <w:p w:rsidR="00000000" w:rsidRDefault="007B5F68">
      <w:pPr>
        <w:spacing w:after="0" w:line="240" w:lineRule="auto"/>
        <w:ind w:firstLine="708"/>
        <w:jc w:val="both"/>
      </w:pPr>
    </w:p>
    <w:p w:rsidR="00000000" w:rsidRDefault="007B5F68">
      <w:pPr>
        <w:spacing w:after="0" w:line="240" w:lineRule="auto"/>
        <w:ind w:firstLine="708"/>
        <w:jc w:val="both"/>
      </w:pPr>
    </w:p>
    <w:p w:rsidR="00000000" w:rsidRDefault="007B5F6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(Єфіменко Н.Є.) забезпечити оприлюднення цього розпорядження на офіційному сайті Ніжинської міської ради.</w:t>
      </w:r>
    </w:p>
    <w:p w:rsidR="00000000" w:rsidRDefault="007B5F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00000" w:rsidRDefault="007B5F6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Контроль за виконанням цього розпорядження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покласти                             на керуючого справами виконавчого комітету Ніжинської міської ради Колесника С. О.</w:t>
      </w:r>
    </w:p>
    <w:p w:rsidR="00000000" w:rsidRDefault="007B5F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00000" w:rsidRDefault="007B5F68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                                                                                   А. В. Лінник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000000" w:rsidRDefault="007B5F68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RANGE!A1%2525252525252525252525252525252"/>
      <w:bookmarkEnd w:id="1"/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</w:pPr>
      <w:r>
        <w:rPr>
          <w:rFonts w:ascii="Times New Roman" w:hAnsi="Times New Roman" w:cs="Times New Roman"/>
          <w:sz w:val="28"/>
          <w:szCs w:val="28"/>
          <w:lang w:val="uk-UA"/>
        </w:rPr>
        <w:t>Візують:</w:t>
      </w: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відділу бухгалтерського</w:t>
      </w:r>
    </w:p>
    <w:p w:rsidR="00000000" w:rsidRDefault="007B5F68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обліку апарату виконавчого комітету-</w:t>
      </w:r>
    </w:p>
    <w:p w:rsidR="00000000" w:rsidRDefault="007B5F68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головний бухгалтер виконавчого</w:t>
      </w:r>
    </w:p>
    <w:p w:rsidR="00000000" w:rsidRDefault="007B5F68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Єфіменко.Н.Є.</w:t>
      </w:r>
    </w:p>
    <w:p w:rsidR="00000000" w:rsidRDefault="007B5F6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00000" w:rsidRDefault="007B5F68">
      <w:pPr>
        <w:spacing w:after="0"/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</w:t>
      </w:r>
    </w:p>
    <w:p w:rsidR="00000000" w:rsidRDefault="007B5F68">
      <w:pPr>
        <w:spacing w:after="0"/>
      </w:pPr>
      <w:r>
        <w:rPr>
          <w:rFonts w:ascii="Times New Roman" w:hAnsi="Times New Roman" w:cs="Times New Roman"/>
          <w:sz w:val="28"/>
          <w:szCs w:val="28"/>
          <w:lang w:val="uk-UA"/>
        </w:rPr>
        <w:t>кадрового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Лега В.О.</w:t>
      </w: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7B5F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2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7"/>
        <w:gridCol w:w="40"/>
        <w:gridCol w:w="40"/>
        <w:gridCol w:w="40"/>
        <w:gridCol w:w="40"/>
        <w:gridCol w:w="109"/>
        <w:gridCol w:w="40"/>
        <w:gridCol w:w="40"/>
        <w:gridCol w:w="40"/>
      </w:tblGrid>
      <w:tr w:rsidR="00000000">
        <w:trPr>
          <w:trHeight w:val="2069"/>
        </w:trPr>
        <w:tc>
          <w:tcPr>
            <w:tcW w:w="104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                                                                                                                           </w:t>
            </w:r>
          </w:p>
          <w:p w:rsidR="00000000" w:rsidRDefault="007B5F6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Затверджено</w:t>
            </w:r>
          </w:p>
          <w:p w:rsidR="00000000" w:rsidRDefault="007B5F6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Розпорядження  міського голови</w:t>
            </w:r>
          </w:p>
          <w:p w:rsidR="00000000" w:rsidRDefault="007B5F6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04.03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.2020 р. №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55</w:t>
            </w:r>
          </w:p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ШТАТНИЙ РОЗПИС  АПАРАТУ ВИКОНАВЧОГО КОМІТЕТ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У, </w:t>
            </w:r>
          </w:p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ВИКОНАВЧИХ ОРГАНІВ ВИКОНАВЧОГО КОМІТЕТУ НІЖИНСЬКОЇ МІСЬКОЇ РАДИ Чернігівської області</w:t>
            </w:r>
          </w:p>
          <w:p w:rsidR="00000000" w:rsidRDefault="007B5F6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(станом на 04  травня  2020 року)</w:t>
            </w:r>
          </w:p>
          <w:p w:rsidR="00000000" w:rsidRDefault="007B5F68">
            <w:pPr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000000" w:rsidRDefault="007B5F6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7B5F6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7B5F6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7B5F6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9" w:type="dxa"/>
            <w:shd w:val="clear" w:color="auto" w:fill="auto"/>
          </w:tcPr>
          <w:p w:rsidR="00000000" w:rsidRDefault="007B5F6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7B5F6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7B5F6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7B5F6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000000" w:rsidRDefault="007B5F68">
      <w:p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206"/>
        <w:gridCol w:w="1070"/>
        <w:gridCol w:w="10"/>
        <w:gridCol w:w="1298"/>
        <w:gridCol w:w="1848"/>
      </w:tblGrid>
      <w:tr w:rsidR="00000000">
        <w:trPr>
          <w:cantSplit/>
          <w:trHeight w:val="51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Назва структурного підрозділу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, найменування </w:t>
            </w:r>
            <w:r>
              <w:rPr>
                <w:rFonts w:ascii="Times New Roman" w:hAnsi="Times New Roman" w:cs="Times New Roman"/>
                <w:color w:val="000000"/>
              </w:rPr>
              <w:t>посад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Кількість штатних посад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Посадовий оклад (грн.)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Фонд заробітної плати н</w:t>
            </w:r>
            <w:r>
              <w:rPr>
                <w:rFonts w:ascii="Times New Roman" w:hAnsi="Times New Roman" w:cs="Times New Roman"/>
                <w:color w:val="000000"/>
              </w:rPr>
              <w:t>а місяць (грн.)</w:t>
            </w:r>
          </w:p>
        </w:tc>
      </w:tr>
      <w:tr w:rsidR="00000000">
        <w:trPr>
          <w:cantSplit/>
          <w:trHeight w:val="57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0000">
        <w:trPr>
          <w:trHeight w:val="255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1.1. Керівний склад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Міський голова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міста Ніжина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Ніжинської міської ради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11500,00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Керуючий справами виконавчого комітету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Ніжинської міської ради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11500,00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6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Перший заступник міс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голови 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питань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діяльності виконавчих органів ради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Заступник міського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питань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діяльності виконавчих органів ради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11500,00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8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lang w:val="uk-UA"/>
              </w:rPr>
              <w:t>6.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Заступник міського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питань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діяльності виконавчих органів ради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11500,00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11500,00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482"/>
        </w:trPr>
        <w:tc>
          <w:tcPr>
            <w:tcW w:w="7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.2. Структурні підрозділи виконавчого комітету  Ніжинської міської ради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1.2.1.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Відділ з питань діловодства та роботи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зі зверненнями громадян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відділу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діловодства, обліку та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нтролю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сектора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з питань прийому громадян і звернень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сектора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1.2.2. Відділ  з 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итань організації діяльності міської ради   та її виконавчого комітету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1.2.3.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Відділ юридично-кадрового забезпечення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Сектор з питань кадрової політики</w:t>
            </w:r>
          </w:p>
          <w:p w:rsidR="00000000" w:rsidRDefault="007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00000" w:rsidRDefault="007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00000" w:rsidRDefault="007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сектора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Сектор з питань претензійно-позовної роботи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та запобігання корупції</w:t>
            </w:r>
          </w:p>
          <w:p w:rsidR="00000000" w:rsidRDefault="007B5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сектора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1.2.4. Відділ бухгалтерського обліку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відділу-головний бухгалтер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нача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льника відділу-головного бухгалтера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6138,00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3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ІІ категорії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3950,00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30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6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ІІ категорії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3950,00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1.2.5. Відділ господарського забезпечення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ідділу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спеціаліст-системний адміністратор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6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спеціаліст-системний адміністратор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Водій І класу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2590,00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Водій І класу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2590,00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2573,00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Прибиральн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ик службових приміщень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2573,00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2573,00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2573,00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2573,00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6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1287,00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Сторож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2573,00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Сторож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2573,00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Сторож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2573,00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Сторож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2573,00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Робітник з комплексного обслуговування й ремонту будинків (сезонний працівник на період міжопалювального сезону)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2573,00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Робітник з комплексного обслуговування й ремонту будинкі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(за сумісництвом)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1287,00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Двірник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1287,00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Робітник з комплексного обслуговування й ремонту будинків (за сумісництвом)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1287,00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Робітник з комплексного обслуговування й ремонту будинків (за сумісництвом)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1287,00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21. 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алювач (сезонний працівник, на період опалювального сезону)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2573,00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22. </w:t>
            </w:r>
          </w:p>
        </w:tc>
        <w:tc>
          <w:tcPr>
            <w:tcW w:w="6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Двірник (за сумісництвом)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1287,00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495"/>
        </w:trPr>
        <w:tc>
          <w:tcPr>
            <w:tcW w:w="6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1.3.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Виконавчі органи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виконавчого комітету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Ніжинської міської ради                         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1.3.1.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Відділ адміністрати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вно-дозвільних процедур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відділу-адміністратор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адміністративно-дозвільних процедур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lang w:val="uk-UA"/>
              </w:rPr>
              <w:t>2.</w:t>
            </w:r>
          </w:p>
        </w:tc>
        <w:tc>
          <w:tcPr>
            <w:tcW w:w="6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сектора-адміністратор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5500,00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5110,00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5110,00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Адміністратор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00000" w:rsidRDefault="007B5F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6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Адміністратор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5110,00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державної реєстрації юридичних осіб, фізічних осіб-підприємців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сектору-державний реєстратор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lang w:val="uk-UA"/>
              </w:rPr>
              <w:t>5500,00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lang w:val="uk-UA"/>
              </w:rPr>
              <w:t>8.</w:t>
            </w:r>
          </w:p>
        </w:tc>
        <w:tc>
          <w:tcPr>
            <w:tcW w:w="6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Державний реєстратор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lang w:val="uk-UA"/>
              </w:rPr>
              <w:t>5110,00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державної реєстрації речових прав на нерух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 майно та їх обтяжень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сектору-державний реєстратор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lang w:val="uk-UA"/>
              </w:rPr>
              <w:t>5500,00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Державний реєстратор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lang w:val="uk-UA"/>
              </w:rPr>
              <w:t>5110,00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1.3.2. Відділ з питань надзвичайних ситуацій, цивільного захисту населення, оборонної та мобілізаційної роботи</w:t>
            </w:r>
          </w:p>
          <w:p w:rsidR="00000000" w:rsidRDefault="007B5F68">
            <w:pPr>
              <w:spacing w:after="0" w:line="240" w:lineRule="auto"/>
              <w:jc w:val="center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дділу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lang w:val="uk-UA"/>
              </w:rPr>
              <w:t>4.</w:t>
            </w:r>
          </w:p>
        </w:tc>
        <w:tc>
          <w:tcPr>
            <w:tcW w:w="6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lang w:val="uk-UA"/>
              </w:rPr>
              <w:t>5.</w:t>
            </w:r>
          </w:p>
        </w:tc>
        <w:tc>
          <w:tcPr>
            <w:tcW w:w="6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</w:pPr>
          </w:p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1.3.3. Відділ з благоустрою, роботи з органами самоорганізації населення та взаємодії з прав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оохоронними органами</w:t>
            </w:r>
          </w:p>
          <w:p w:rsidR="00000000" w:rsidRDefault="007B5F68">
            <w:pPr>
              <w:spacing w:after="0" w:line="240" w:lineRule="auto"/>
              <w:jc w:val="center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відділу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6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6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аліст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1.3.4. Відділ інформаційно-аналітичної роботи та комунікацій з громадськістю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відділу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Сектор інформаційно-аналітичної роботи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сектора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Головний спеціаліст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 взаємодії із засобами масової інформації </w:t>
            </w:r>
          </w:p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(прес-центр)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сектора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Сектор комунікацій з громадськістю (медіацентр)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сектора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5500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6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Головний спеціаліст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1.3.5.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Відділ містобудування та архітектури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відділу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 архітектор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Головний спеціаліст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Головний спеціаліст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1.3.6.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Відділ ведення Державного реєстру виборців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відділу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</w:pPr>
          </w:p>
          <w:p w:rsidR="00000000" w:rsidRDefault="007B5F68">
            <w:pPr>
              <w:spacing w:after="0" w:line="240" w:lineRule="auto"/>
              <w:jc w:val="center"/>
            </w:pPr>
          </w:p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1.3.7.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Архівний відділ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відділу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1.3.8.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Служба у справах дітей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служби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опіки, піклування та усиновлення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сектора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профілактики правопорушень серед неп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внолітніх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</w:pPr>
          </w:p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1.3.9.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Відділ у справах сім'ї та молоді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відділу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lang w:val="uk-UA"/>
              </w:rPr>
              <w:t>3.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1.3.10.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Відділ квартирного обліку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приватизації житла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 та ведення реєстру територіальної громади</w:t>
            </w:r>
          </w:p>
          <w:p w:rsidR="00000000" w:rsidRDefault="007B5F68">
            <w:pPr>
              <w:spacing w:after="0" w:line="240" w:lineRule="auto"/>
              <w:jc w:val="center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відділу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Сектор ведення реєстру територіальної громади міста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сектора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7. 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9. 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1.3.11.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Відділ економіки та інвестиційної ді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яльності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відділу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економічного аналізу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сектора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розвитку підприємництва,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споживчого ринку та захисту прав споживачів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Сектор інвестиційної діяльності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 спеціаліст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енергоменеджменту та енергоефективності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сектора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right"/>
            </w:pPr>
            <w:r>
              <w:rPr>
                <w:lang w:val="uk-UA"/>
              </w:rPr>
              <w:t>10.</w:t>
            </w:r>
          </w:p>
        </w:tc>
        <w:tc>
          <w:tcPr>
            <w:tcW w:w="6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5100,00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2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7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1.4. Патронатна служба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7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60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Радник міського голови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5120,00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000000">
        <w:trPr>
          <w:trHeight w:val="27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Усього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7B5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000000" w:rsidRDefault="007B5F68">
      <w:p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7B5F68" w:rsidRDefault="007B5F68">
      <w:pPr>
        <w:ind w:left="5220" w:firstLine="6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sectPr w:rsidR="007B5F68">
      <w:pgSz w:w="11906" w:h="16838"/>
      <w:pgMar w:top="709" w:right="851" w:bottom="13" w:left="12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79"/>
    <w:rsid w:val="005A6679"/>
    <w:rsid w:val="007B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2A82D59-87C8-4FC6-82F4-83E06C08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</w:style>
  <w:style w:type="character" w:customStyle="1" w:styleId="a5">
    <w:name w:val="Нижний колонтитул Знак"/>
    <w:basedOn w:val="1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b">
    <w:name w:val="header"/>
    <w:basedOn w:val="a"/>
    <w:pPr>
      <w:spacing w:after="0" w:line="240" w:lineRule="auto"/>
    </w:pPr>
  </w:style>
  <w:style w:type="paragraph" w:styleId="ac">
    <w:name w:val="footer"/>
    <w:basedOn w:val="a"/>
    <w:pPr>
      <w:spacing w:after="0" w:line="240" w:lineRule="auto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VNMR-65-02</cp:lastModifiedBy>
  <cp:revision>2</cp:revision>
  <cp:lastPrinted>2020-03-05T09:34:00Z</cp:lastPrinted>
  <dcterms:created xsi:type="dcterms:W3CDTF">2020-03-10T12:50:00Z</dcterms:created>
  <dcterms:modified xsi:type="dcterms:W3CDTF">2020-03-10T12:50:00Z</dcterms:modified>
</cp:coreProperties>
</file>